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 w:themeFill="background1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</w:rPr>
      </w:r>
      <w:bookmarkStart w:id="0" w:name="_Hlk75185838"/>
      <w:r>
        <w:rPr>
          <w:rFonts w:ascii="Liberation Serif" w:hAnsi="Liberation Serif" w:eastAsia="Liberation Serif" w:cs="Liberation Serif"/>
          <w:sz w:val="24"/>
          <w:szCs w:val="24"/>
        </w:rPr>
      </w:r>
      <w:bookmarkStart w:id="1" w:name="_GoBack"/>
      <w:r>
        <w:rPr>
          <w:rFonts w:ascii="Liberation Serif" w:hAnsi="Liberation Serif" w:eastAsia="Liberation Serif" w:cs="Liberation Serif"/>
          <w:sz w:val="24"/>
          <w:szCs w:val="24"/>
        </w:rPr>
      </w:r>
      <w:bookmarkEnd w:id="1"/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p>
      <w:pPr>
        <w:jc w:val="center"/>
        <w:shd w:val="clear" w:color="auto" w:fill="ffffff" w:themeFill="background1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bCs/>
          <w:color w:val="000000"/>
          <w:sz w:val="24"/>
          <w:szCs w:val="24"/>
        </w:rPr>
        <w:t xml:space="preserve">Перечень товаров, работ, услуг, закупки которых осуществляются у субъектов малого и среднего предпринимательства</w:t>
      </w:r>
      <w:r>
        <w:rPr>
          <w:rFonts w:ascii="Liberation Serif" w:hAnsi="Liberation Serif" w:cs="Liberation Serif"/>
          <w:b/>
          <w:sz w:val="24"/>
          <w:szCs w:val="24"/>
        </w:rPr>
        <w:t xml:space="preserve"> (с 14.03.2025 по 31.12.2026)</w:t>
      </w:r>
      <w:r>
        <w:rPr>
          <w:rFonts w:ascii="Liberation Serif" w:hAnsi="Liberation Serif" w:cs="Liberation Serif"/>
          <w:b/>
          <w:sz w:val="24"/>
          <w:szCs w:val="24"/>
        </w:rPr>
      </w:r>
    </w:p>
    <w:tbl>
      <w:tblPr>
        <w:tblW w:w="1006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1"/>
        <w:gridCol w:w="7126"/>
        <w:gridCol w:w="82"/>
      </w:tblGrid>
      <w:tr>
        <w:tblPrEx/>
        <w:trPr>
          <w:trHeight w:val="402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9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0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Наименование Заказчика (Юридического лица)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Общество с ограниченной ответственностью 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«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Объединенный расчетный центр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»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0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Адрес местонахождения Заказчика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Российская Федерация, 410035, Саратовская область, г. Саратов, 1-й 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Топольчанский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 проезд, здание 8, 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Телефон Заказчика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8 (845-2)-24-42-54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600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Электронная почта Заказчика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  <w:lang w:val="en-US"/>
              </w:rPr>
              <w:t xml:space="preserve">eremeeva_so@interrao.ru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ИНН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7734431500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КПП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645201001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gridAfter w:val="1"/>
          <w:trHeight w:val="402"/>
        </w:trPr>
        <w:tc>
          <w:tcPr>
            <w:gridSpan w:val="3"/>
            <w:shd w:val="clear" w:color="000000" w:fill="cccccc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85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ОКАТО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7126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63401000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60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9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cccccc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№ п/п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cccccc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Код ОКПД2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cccccc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00000"/>
                <w:sz w:val="24"/>
                <w:szCs w:val="24"/>
              </w:rPr>
              <w:t xml:space="preserve">Наименование товаров, работ, услуг</w:t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25.73.30.299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Инструмент слесарно-монтажный прочий, не включенный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18.12.14.000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печатанию книг, географических карт, гидрографических или аналогичных карт всех видов, репродукций, чертежей и фотографий, открыток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18.11.10.000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печатанию газет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17.23.14.120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Картон прочий, используемый для письма или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печати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или прочих графических целей, тисненый, гофрированный или перфорированный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17.23.13.199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Принадлежности канцелярские прочие из бумаги или картона,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17.23.14.110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Бумага прочая, используемая для письма или 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печати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или прочих графических целей, тисненая, гофрированная или перфорированная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0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17.23.13.141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Бланки личных документов строгого учета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11.07.19.190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Напитки безалкогольные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10.82.22.149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Конфеты, глазированные шоколадной и шоколадно-молочной глазурью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81.29.19.000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чистке и уборке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ind w:left="36" w:firstLine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  <w:p>
            <w:pP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</w:p>
          <w:p>
            <w:pP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прочие, связанные со службой предварительных заказов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79.90.39.190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74.90.12.122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установлению рыночной или иной стоимости совокупности вещей, составляющих имущество лица, в том числе имущество определенного вида (движимое или недвижимое, включая предприятия)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6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74.10.19.000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специализированному дизайну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73.11.19.000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рекламные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71.20.19.130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оценке условий труда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71.12.39.113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мониторингу загрязнения окружающей среды для физических и юридических лиц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71.12.12.190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инженерно-техническому проектированию зданий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7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63.99.10.190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информационные автоматизированные компьютерные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2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63.11.13.000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предоставлению программного обеспечения без его размещения на компьютерном оборудовании пользователя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62.09.20.190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технической поддержке в области информационных технологий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62.03.12.190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управлению компьютерными системами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62.02.30.000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технической поддержке информационных технологий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62.01.29.000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Оригиналы программного обеспечения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61.20.30.120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передаче данных по беспроводным телекоммуникационным сетям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58.19.19.190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Продукция издательская печатная прочая, не включенная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58.11.12.000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Книги печатные профессиональные, технические и научные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53.20.19.120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курьерские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47.78.30.000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сувенирами, изделиями народных художественных промыслов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2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47.62.20.000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писчебумажными и канцелярскими товарами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47.54.10.000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бытовыми электротоварами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0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47.52.73.000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металлическими и неметаллическими конструкциями и т.п.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47.52.60.000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садово-огородной техникой и инвентарем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47.41.10.000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компьютерами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46.52.12.000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электронным оборудованием и его частями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20"/>
        </w:trPr>
        <w:tc>
          <w:tcPr>
            <w:shd w:val="clear" w:color="000000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47.42.10.000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телекоммуникационным оборудованием, включая розничную торговлю мобильными телефонами,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47.41.20.000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розничной торговле программным обеспечением в специализированных магазинах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46.74.12.000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водопроводным и отопительным оборудованием и санитарно-технической арматурой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9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46.66.10.000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прочей офисной техникой и оборудованием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46.49.39.000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прочими потребительскими товарами, не включенными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4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46.49.21.000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книгами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7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46.49.23.000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писчебумажными и канцелярскими товарами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46.43.11.000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бытовыми электроприборами, кроме радио- и телеаппаратуры и фототоваров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51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46.42.11.110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одеждой, включая спортивную, кроме нательного белья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46.14.11.000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компьютерами, программным обеспечением, электронным и телекоммуникационным оборудованием и прочим офисным оборудованием за вознаграждение или на договорной основе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46.11.12.000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оптовой торговле цветами и растениями за вознаграждение или на договорной основе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43.29.19.190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Работы монтажные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43.21.10.140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Работы по монтажу систем пожарной сигнализации и охранной сигнализации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36.00.20.110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очистке и подготовке воды для водоснабжения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36.00.11.000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Вода питьевая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33.17.19.000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ремонту и техническому обслуживанию прочих транспортных средств и оборудования, не включенных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9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33.14.19.000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ремонту и техническому обслуживанию прочего профессионального электрического оборудования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32.99.11.199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Средства индивидуальной защиты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28.29.22.110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Огнетушители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6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28.25.12.130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Кондиционеры бытовые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28.25.12.110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Кондиционеры промышленные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9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28.23.21.110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Аппараты фотокопировальные со встроенной оптической системой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27.52.20.000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Части печей, плит, подогревателей тарелок и аналогичных неэлектрических бытовых приборов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27.51.30.000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Части бытовых электрических приборов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27.52.12.000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Приборы бытовые прочие, на газовом топливе или на газовом и других видах топлива, на жидком топливе и на твердом топливе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27.40.32.000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Наборы осветительные для рождественских (новогодних) елок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27.40.25.129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Устройства осветительные электрические подвесные, потолочные, встраиваемые и настенные, предназначенные для использования с лампами прочих типов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26.51.45.190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Приборы и аппаратура для измерения или контроля электрических величин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6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26.40.33.110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Видеокамеры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26.30.11.190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Аппаратура коммуникационная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 передающая с приемными устройствами прочая, не включенная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60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26.20.40.190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Комплектующие и запасные части для вычислительных машин прочие, не включенные в другие группировки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Сейфы и шкафы прочие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20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25.99.21.119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  <w:r>
              <w:rPr>
                <w:color w:val="000000"/>
                <w:sz w:val="22"/>
                <w:szCs w:val="20"/>
              </w:rPr>
            </w:r>
          </w:p>
        </w:tc>
      </w:tr>
      <w:tr>
        <w:tblPrEx/>
        <w:trPr>
          <w:trHeight w:val="48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95.11.10.190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ремонту прочего компьютерного и периферийного компьютерного оборудования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84.25.11.120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обеспечению пожарной безопасности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3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81.10.10.000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обслуживанию помещений комплексные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3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81.30.10.000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планировке ландшафта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5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81.21.10.000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по общей уборке зданий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22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80.20.10.000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систем обеспечения безопасности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66.29.11.000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актуариев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62.02.10.000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ab/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Услуги консультативные по компьютерному оборудованию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45.20.30.000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Мойка автотранспортных средств, полирование и аналогичные услуги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Merge w:val="restart"/>
            <w:textDirection w:val="lrTb"/>
            <w:noWrap w:val="false"/>
          </w:tcPr>
          <w:p>
            <w:pPr>
              <w:pStyle w:val="857"/>
              <w:numPr>
                <w:ilvl w:val="0"/>
                <w:numId w:val="5"/>
              </w:numPr>
              <w:ind w:left="36" w:hanging="36"/>
              <w:jc w:val="center"/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26.20.22.190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29" w:type="dxa"/>
            <w:vMerge w:val="restart"/>
            <w:textDirection w:val="lrTb"/>
            <w:noWrap w:val="false"/>
          </w:tcPr>
          <w:p>
            <w:pPr>
              <w:rPr>
                <w:rFonts w:ascii="Liberation Serif" w:hAnsi="Liberation Serif" w:eastAsia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  <w:t xml:space="preserve">Устройства запоминающие полупроводниковые, сохраняющие информацию при выключении питания прочие</w:t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sz w:val="24"/>
                <w:szCs w:val="24"/>
              </w:rPr>
            </w:r>
          </w:p>
        </w:tc>
      </w:tr>
      <w:tr>
        <w:tblPrEx/>
        <w:trPr>
          <w:trHeight w:val="282"/>
        </w:trPr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7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9" w:type="dxa"/>
            <w:vAlign w:val="bottom"/>
            <w:textDirection w:val="lrTb"/>
            <w:noWrap w:val="false"/>
          </w:tcPr>
          <w:p>
            <w:pP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r>
          </w:p>
        </w:tc>
      </w:tr>
    </w:tbl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Заказчик не обязан осуществлять закупки товаров, работ, услуг у СМСП, включенных в Перечень товаров, работ, услуг, закупки которых осуществляются у субъектов малого и среднего предпринимательства в случаях: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осуществления закупок, предметы договоров которых, отнесены к исключениям, установленным пунктом 7 Положения;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если закупка товаров, работ, услуг осуществляется Заказчиком в составе комплексной закупки и/или в составе одного лота, где они технологически и функционально связаны с иными товарами, работами, услугами, не включенными в Перечень.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принятия решения, по истечении срока приема заявок при осуществлении закупки, участниками которой могут быть только СМСП, о проведении закупки на общих условиях, если: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а) СМСП не подали заявок на участие в такой закупке;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б) заявки всех участников закупки, являющихся СМСП, отозваны или не соответствуют требованиям, предусмотренным закупочной документацией;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в) заявка, поданная единственным участником закупки, являющимся СМСП, не соответствует требованиям, предусмотренным закупочной документацией;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г) заказчиком в порядке, установленном положением о закупке, принято решение о том, что договор по результатам закупки не заключается;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  д) заказчик отменил решение об определении поставщика (исполнителя, подрядчика), в случае если, по результатам такой закупки договор не был заключен.</w:t>
      </w:r>
      <w:r>
        <w:rPr>
          <w:rFonts w:ascii="Liberation Serif" w:hAnsi="Liberation Serif" w:cs="Liberation Serif"/>
          <w:bCs/>
          <w:sz w:val="24"/>
          <w:szCs w:val="24"/>
        </w:rPr>
      </w:r>
      <w:r>
        <w:rPr>
          <w:rFonts w:ascii="Liberation Serif" w:hAnsi="Liberation Serif" w:cs="Liberation Serif"/>
          <w:bCs/>
          <w:sz w:val="24"/>
          <w:szCs w:val="24"/>
        </w:rPr>
      </w:r>
    </w:p>
    <w:p>
      <w:pPr>
        <w:ind w:firstLine="567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bCs/>
          <w:sz w:val="24"/>
          <w:szCs w:val="24"/>
        </w:rPr>
        <w:t xml:space="preserve">- в иных случаях, указанных в закупочной документации.</w:t>
      </w:r>
      <w:bookmarkEnd w:id="0"/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center"/>
        <w:shd w:val="clear" w:color="auto" w:fill="ffffff" w:themeFill="background1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eastAsia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  <w:r>
        <w:rPr>
          <w:rFonts w:ascii="Liberation Serif" w:hAnsi="Liberation Serif" w:cs="Liberation Serif"/>
          <w:b/>
          <w:sz w:val="24"/>
          <w:szCs w:val="24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851" w:bottom="993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i w:val="0"/>
        <w:iCs w:val="0"/>
        <w:sz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1360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92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296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00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4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8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2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8" w:hanging="144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>
    <w:name w:val="Heading 1"/>
    <w:basedOn w:val="849"/>
    <w:next w:val="849"/>
    <w:link w:val="67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5">
    <w:name w:val="Heading 1 Char"/>
    <w:basedOn w:val="850"/>
    <w:link w:val="674"/>
    <w:uiPriority w:val="9"/>
    <w:rPr>
      <w:rFonts w:ascii="Arial" w:hAnsi="Arial" w:eastAsia="Arial" w:cs="Arial"/>
      <w:sz w:val="40"/>
      <w:szCs w:val="40"/>
    </w:rPr>
  </w:style>
  <w:style w:type="paragraph" w:styleId="676">
    <w:name w:val="Heading 2"/>
    <w:basedOn w:val="849"/>
    <w:next w:val="849"/>
    <w:link w:val="6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7">
    <w:name w:val="Heading 2 Char"/>
    <w:basedOn w:val="850"/>
    <w:link w:val="676"/>
    <w:uiPriority w:val="9"/>
    <w:rPr>
      <w:rFonts w:ascii="Arial" w:hAnsi="Arial" w:eastAsia="Arial" w:cs="Arial"/>
      <w:sz w:val="34"/>
    </w:rPr>
  </w:style>
  <w:style w:type="paragraph" w:styleId="678">
    <w:name w:val="Heading 3"/>
    <w:basedOn w:val="849"/>
    <w:next w:val="849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9">
    <w:name w:val="Heading 3 Char"/>
    <w:basedOn w:val="850"/>
    <w:link w:val="678"/>
    <w:uiPriority w:val="9"/>
    <w:rPr>
      <w:rFonts w:ascii="Arial" w:hAnsi="Arial" w:eastAsia="Arial" w:cs="Arial"/>
      <w:sz w:val="30"/>
      <w:szCs w:val="30"/>
    </w:rPr>
  </w:style>
  <w:style w:type="paragraph" w:styleId="680">
    <w:name w:val="Heading 4"/>
    <w:basedOn w:val="849"/>
    <w:next w:val="849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1">
    <w:name w:val="Heading 4 Char"/>
    <w:basedOn w:val="850"/>
    <w:link w:val="680"/>
    <w:uiPriority w:val="9"/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49"/>
    <w:next w:val="849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3">
    <w:name w:val="Heading 5 Char"/>
    <w:basedOn w:val="850"/>
    <w:link w:val="682"/>
    <w:uiPriority w:val="9"/>
    <w:rPr>
      <w:rFonts w:ascii="Arial" w:hAnsi="Arial" w:eastAsia="Arial" w:cs="Arial"/>
      <w:b/>
      <w:bCs/>
      <w:sz w:val="24"/>
      <w:szCs w:val="24"/>
    </w:rPr>
  </w:style>
  <w:style w:type="paragraph" w:styleId="684">
    <w:name w:val="Heading 6"/>
    <w:basedOn w:val="849"/>
    <w:next w:val="849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5">
    <w:name w:val="Heading 6 Char"/>
    <w:basedOn w:val="850"/>
    <w:link w:val="684"/>
    <w:uiPriority w:val="9"/>
    <w:rPr>
      <w:rFonts w:ascii="Arial" w:hAnsi="Arial" w:eastAsia="Arial" w:cs="Arial"/>
      <w:b/>
      <w:bCs/>
      <w:sz w:val="22"/>
      <w:szCs w:val="22"/>
    </w:rPr>
  </w:style>
  <w:style w:type="paragraph" w:styleId="686">
    <w:name w:val="Heading 7"/>
    <w:basedOn w:val="849"/>
    <w:next w:val="849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7 Char"/>
    <w:basedOn w:val="850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8">
    <w:name w:val="Heading 8"/>
    <w:basedOn w:val="849"/>
    <w:next w:val="84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9">
    <w:name w:val="Heading 8 Char"/>
    <w:basedOn w:val="850"/>
    <w:link w:val="688"/>
    <w:uiPriority w:val="9"/>
    <w:rPr>
      <w:rFonts w:ascii="Arial" w:hAnsi="Arial" w:eastAsia="Arial" w:cs="Arial"/>
      <w:i/>
      <w:iCs/>
      <w:sz w:val="22"/>
      <w:szCs w:val="22"/>
    </w:rPr>
  </w:style>
  <w:style w:type="paragraph" w:styleId="690">
    <w:name w:val="Heading 9"/>
    <w:basedOn w:val="849"/>
    <w:next w:val="849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>
    <w:name w:val="Heading 9 Char"/>
    <w:basedOn w:val="850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49"/>
    <w:next w:val="84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basedOn w:val="850"/>
    <w:link w:val="693"/>
    <w:uiPriority w:val="10"/>
    <w:rPr>
      <w:sz w:val="48"/>
      <w:szCs w:val="48"/>
    </w:rPr>
  </w:style>
  <w:style w:type="paragraph" w:styleId="695">
    <w:name w:val="Subtitle"/>
    <w:basedOn w:val="849"/>
    <w:next w:val="84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basedOn w:val="850"/>
    <w:link w:val="695"/>
    <w:uiPriority w:val="11"/>
    <w:rPr>
      <w:sz w:val="24"/>
      <w:szCs w:val="24"/>
    </w:rPr>
  </w:style>
  <w:style w:type="paragraph" w:styleId="697">
    <w:name w:val="Quote"/>
    <w:basedOn w:val="849"/>
    <w:next w:val="849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49"/>
    <w:next w:val="849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character" w:styleId="701">
    <w:name w:val="Header Char"/>
    <w:basedOn w:val="850"/>
    <w:link w:val="853"/>
    <w:uiPriority w:val="99"/>
  </w:style>
  <w:style w:type="paragraph" w:styleId="702">
    <w:name w:val="Footer"/>
    <w:basedOn w:val="849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3">
    <w:name w:val="Footer Char"/>
    <w:basedOn w:val="850"/>
    <w:link w:val="702"/>
    <w:uiPriority w:val="99"/>
  </w:style>
  <w:style w:type="paragraph" w:styleId="704">
    <w:name w:val="Caption"/>
    <w:basedOn w:val="849"/>
    <w:next w:val="84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>
    <w:name w:val="Caption Char"/>
    <w:basedOn w:val="704"/>
    <w:link w:val="702"/>
    <w:uiPriority w:val="99"/>
  </w:style>
  <w:style w:type="table" w:styleId="706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7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5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6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7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8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9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0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4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46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7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8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9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0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1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2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4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9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0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1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2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3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4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7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8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0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2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3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4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05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6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7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8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09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0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2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3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4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5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6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7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19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0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1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2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23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4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5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6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7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8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9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0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1">
    <w:name w:val="Hyperlink"/>
    <w:uiPriority w:val="99"/>
    <w:unhideWhenUsed/>
    <w:rPr>
      <w:color w:val="0000ff" w:themeColor="hyperlink"/>
      <w:u w:val="single"/>
    </w:rPr>
  </w:style>
  <w:style w:type="paragraph" w:styleId="832">
    <w:name w:val="footnote text"/>
    <w:basedOn w:val="849"/>
    <w:link w:val="833"/>
    <w:uiPriority w:val="99"/>
    <w:semiHidden/>
    <w:unhideWhenUsed/>
    <w:pPr>
      <w:spacing w:after="40" w:line="240" w:lineRule="auto"/>
    </w:pPr>
    <w:rPr>
      <w:sz w:val="18"/>
    </w:rPr>
  </w:style>
  <w:style w:type="character" w:styleId="833">
    <w:name w:val="Footnote Text Char"/>
    <w:link w:val="832"/>
    <w:uiPriority w:val="99"/>
    <w:rPr>
      <w:sz w:val="18"/>
    </w:rPr>
  </w:style>
  <w:style w:type="character" w:styleId="834">
    <w:name w:val="footnote reference"/>
    <w:basedOn w:val="850"/>
    <w:uiPriority w:val="99"/>
    <w:unhideWhenUsed/>
    <w:rPr>
      <w:vertAlign w:val="superscript"/>
    </w:rPr>
  </w:style>
  <w:style w:type="paragraph" w:styleId="835">
    <w:name w:val="endnote text"/>
    <w:basedOn w:val="849"/>
    <w:link w:val="836"/>
    <w:uiPriority w:val="99"/>
    <w:semiHidden/>
    <w:unhideWhenUsed/>
    <w:pPr>
      <w:spacing w:after="0" w:line="240" w:lineRule="auto"/>
    </w:pPr>
    <w:rPr>
      <w:sz w:val="20"/>
    </w:rPr>
  </w:style>
  <w:style w:type="character" w:styleId="836">
    <w:name w:val="Endnote Text Char"/>
    <w:link w:val="835"/>
    <w:uiPriority w:val="99"/>
    <w:rPr>
      <w:sz w:val="20"/>
    </w:rPr>
  </w:style>
  <w:style w:type="character" w:styleId="837">
    <w:name w:val="endnote reference"/>
    <w:basedOn w:val="850"/>
    <w:uiPriority w:val="99"/>
    <w:semiHidden/>
    <w:unhideWhenUsed/>
    <w:rPr>
      <w:vertAlign w:val="superscript"/>
    </w:rPr>
  </w:style>
  <w:style w:type="paragraph" w:styleId="838">
    <w:name w:val="toc 1"/>
    <w:basedOn w:val="849"/>
    <w:next w:val="849"/>
    <w:uiPriority w:val="39"/>
    <w:unhideWhenUsed/>
    <w:pPr>
      <w:ind w:left="0" w:right="0" w:firstLine="0"/>
      <w:spacing w:after="57"/>
    </w:pPr>
  </w:style>
  <w:style w:type="paragraph" w:styleId="839">
    <w:name w:val="toc 2"/>
    <w:basedOn w:val="849"/>
    <w:next w:val="849"/>
    <w:uiPriority w:val="39"/>
    <w:unhideWhenUsed/>
    <w:pPr>
      <w:ind w:left="283" w:right="0" w:firstLine="0"/>
      <w:spacing w:after="57"/>
    </w:pPr>
  </w:style>
  <w:style w:type="paragraph" w:styleId="840">
    <w:name w:val="toc 3"/>
    <w:basedOn w:val="849"/>
    <w:next w:val="849"/>
    <w:uiPriority w:val="39"/>
    <w:unhideWhenUsed/>
    <w:pPr>
      <w:ind w:left="567" w:right="0" w:firstLine="0"/>
      <w:spacing w:after="57"/>
    </w:pPr>
  </w:style>
  <w:style w:type="paragraph" w:styleId="841">
    <w:name w:val="toc 4"/>
    <w:basedOn w:val="849"/>
    <w:next w:val="849"/>
    <w:uiPriority w:val="39"/>
    <w:unhideWhenUsed/>
    <w:pPr>
      <w:ind w:left="850" w:right="0" w:firstLine="0"/>
      <w:spacing w:after="57"/>
    </w:pPr>
  </w:style>
  <w:style w:type="paragraph" w:styleId="842">
    <w:name w:val="toc 5"/>
    <w:basedOn w:val="849"/>
    <w:next w:val="849"/>
    <w:uiPriority w:val="39"/>
    <w:unhideWhenUsed/>
    <w:pPr>
      <w:ind w:left="1134" w:right="0" w:firstLine="0"/>
      <w:spacing w:after="57"/>
    </w:pPr>
  </w:style>
  <w:style w:type="paragraph" w:styleId="843">
    <w:name w:val="toc 6"/>
    <w:basedOn w:val="849"/>
    <w:next w:val="849"/>
    <w:uiPriority w:val="39"/>
    <w:unhideWhenUsed/>
    <w:pPr>
      <w:ind w:left="1417" w:right="0" w:firstLine="0"/>
      <w:spacing w:after="57"/>
    </w:pPr>
  </w:style>
  <w:style w:type="paragraph" w:styleId="844">
    <w:name w:val="toc 7"/>
    <w:basedOn w:val="849"/>
    <w:next w:val="849"/>
    <w:uiPriority w:val="39"/>
    <w:unhideWhenUsed/>
    <w:pPr>
      <w:ind w:left="1701" w:right="0" w:firstLine="0"/>
      <w:spacing w:after="57"/>
    </w:pPr>
  </w:style>
  <w:style w:type="paragraph" w:styleId="845">
    <w:name w:val="toc 8"/>
    <w:basedOn w:val="849"/>
    <w:next w:val="849"/>
    <w:uiPriority w:val="39"/>
    <w:unhideWhenUsed/>
    <w:pPr>
      <w:ind w:left="1984" w:right="0" w:firstLine="0"/>
      <w:spacing w:after="57"/>
    </w:pPr>
  </w:style>
  <w:style w:type="paragraph" w:styleId="846">
    <w:name w:val="toc 9"/>
    <w:basedOn w:val="849"/>
    <w:next w:val="849"/>
    <w:uiPriority w:val="39"/>
    <w:unhideWhenUsed/>
    <w:pPr>
      <w:ind w:left="2268" w:right="0" w:firstLine="0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849"/>
    <w:next w:val="849"/>
    <w:uiPriority w:val="99"/>
    <w:unhideWhenUsed/>
    <w:pPr>
      <w:spacing w:after="0" w:afterAutospacing="0"/>
    </w:pPr>
  </w:style>
  <w:style w:type="paragraph" w:styleId="84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0" w:default="1">
    <w:name w:val="Default Paragraph Font"/>
    <w:uiPriority w:val="1"/>
    <w:semiHidden/>
    <w:unhideWhenUsed/>
  </w:style>
  <w:style w:type="table" w:styleId="8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2" w:default="1">
    <w:name w:val="No List"/>
    <w:uiPriority w:val="99"/>
    <w:semiHidden/>
    <w:unhideWhenUsed/>
  </w:style>
  <w:style w:type="paragraph" w:styleId="853">
    <w:name w:val="Header"/>
    <w:basedOn w:val="849"/>
    <w:link w:val="854"/>
    <w:uiPriority w:val="99"/>
    <w:pPr>
      <w:tabs>
        <w:tab w:val="center" w:pos="4677" w:leader="none"/>
        <w:tab w:val="right" w:pos="9355" w:leader="none"/>
      </w:tabs>
    </w:pPr>
  </w:style>
  <w:style w:type="character" w:styleId="854" w:customStyle="1">
    <w:name w:val="Верхний колонтитул Знак"/>
    <w:basedOn w:val="850"/>
    <w:link w:val="85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5" w:customStyle="1">
    <w:name w:val="m_ПростойТекст Char"/>
    <w:link w:val="856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 w:customStyle="1">
    <w:name w:val="m_ПростойТекст"/>
    <w:basedOn w:val="849"/>
    <w:link w:val="855"/>
    <w:pPr>
      <w:jc w:val="both"/>
    </w:pPr>
  </w:style>
  <w:style w:type="paragraph" w:styleId="857">
    <w:name w:val="List Paragraph"/>
    <w:basedOn w:val="849"/>
    <w:link w:val="858"/>
    <w:uiPriority w:val="34"/>
    <w:qFormat/>
    <w:pPr>
      <w:contextualSpacing/>
      <w:ind w:left="720"/>
    </w:pPr>
  </w:style>
  <w:style w:type="character" w:styleId="858" w:customStyle="1">
    <w:name w:val="Абзац списка Знак"/>
    <w:link w:val="857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9">
    <w:name w:val="annotation reference"/>
    <w:basedOn w:val="850"/>
    <w:uiPriority w:val="99"/>
    <w:unhideWhenUsed/>
    <w:rPr>
      <w:sz w:val="16"/>
      <w:szCs w:val="16"/>
    </w:rPr>
  </w:style>
  <w:style w:type="paragraph" w:styleId="860">
    <w:name w:val="annotation text"/>
    <w:basedOn w:val="849"/>
    <w:link w:val="861"/>
    <w:uiPriority w:val="99"/>
    <w:unhideWhenUsed/>
    <w:rPr>
      <w:sz w:val="20"/>
      <w:szCs w:val="20"/>
    </w:rPr>
  </w:style>
  <w:style w:type="character" w:styleId="861" w:customStyle="1">
    <w:name w:val="Текст примечания Знак"/>
    <w:basedOn w:val="850"/>
    <w:link w:val="86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862">
    <w:name w:val="Table Grid"/>
    <w:basedOn w:val="85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3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4">
    <w:name w:val="Balloon Text"/>
    <w:basedOn w:val="849"/>
    <w:link w:val="86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5" w:customStyle="1">
    <w:name w:val="Текст выноски Знак"/>
    <w:basedOn w:val="850"/>
    <w:link w:val="864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Светлана Олеговна</dc:creator>
  <cp:keywords/>
  <dc:description/>
  <cp:revision>8</cp:revision>
  <dcterms:created xsi:type="dcterms:W3CDTF">2023-12-13T11:56:00Z</dcterms:created>
  <dcterms:modified xsi:type="dcterms:W3CDTF">2025-03-14T07:28:17Z</dcterms:modified>
</cp:coreProperties>
</file>